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C4A2B" w14:textId="77777777" w:rsidR="00857745" w:rsidRDefault="00857745" w:rsidP="00857745">
      <w:pPr>
        <w:ind w:firstLineChars="200" w:firstLine="880"/>
        <w:rPr>
          <w:rFonts w:ascii="ＭＳ Ｐゴシック" w:eastAsia="ＭＳ Ｐゴシック" w:hAnsi="ＭＳ Ｐゴシック"/>
          <w:bCs/>
          <w:sz w:val="44"/>
          <w:szCs w:val="44"/>
        </w:rPr>
      </w:pPr>
      <w:r>
        <w:rPr>
          <w:rFonts w:ascii="ＭＳ Ｐゴシック" w:eastAsia="ＭＳ Ｐゴシック" w:hAnsi="ＭＳ Ｐゴシック" w:hint="eastAsia"/>
          <w:bCs/>
          <w:sz w:val="44"/>
          <w:szCs w:val="44"/>
        </w:rPr>
        <w:t>TOKYO BAY CUP（TBCレース） 2024</w:t>
      </w:r>
    </w:p>
    <w:p w14:paraId="739636F9" w14:textId="77777777" w:rsidR="00857745" w:rsidRDefault="00857745" w:rsidP="00857745">
      <w:pPr>
        <w:autoSpaceDE w:val="0"/>
        <w:autoSpaceDN w:val="0"/>
        <w:adjustRightInd w:val="0"/>
        <w:ind w:firstLineChars="350" w:firstLine="843"/>
        <w:rPr>
          <w:rFonts w:ascii="ＭＳ Ｐゴシック" w:eastAsia="ＭＳ Ｐゴシック" w:hAnsi="ＭＳ Ｐゴシック" w:cs="MS-PGothic" w:hint="eastAsia"/>
          <w:b/>
          <w:color w:val="000000"/>
          <w:kern w:val="0"/>
          <w:sz w:val="24"/>
        </w:rPr>
      </w:pPr>
      <w:r>
        <w:rPr>
          <w:rFonts w:ascii="ＭＳ Ｐゴシック" w:eastAsia="ＭＳ Ｐゴシック" w:hAnsi="ＭＳ Ｐゴシック" w:cs="MS-PGothic" w:hint="eastAsia"/>
          <w:b/>
          <w:color w:val="000000"/>
          <w:kern w:val="0"/>
          <w:sz w:val="24"/>
        </w:rPr>
        <w:t>外洋特別規定２０２３－２０２４付則Ｂインショアレース用特別規定申告書</w:t>
      </w:r>
    </w:p>
    <w:p w14:paraId="64C7E91D" w14:textId="77777777" w:rsidR="00857745" w:rsidRDefault="00857745" w:rsidP="00857745">
      <w:pPr>
        <w:tabs>
          <w:tab w:val="left" w:pos="403"/>
        </w:tabs>
        <w:autoSpaceDE w:val="0"/>
        <w:autoSpaceDN w:val="0"/>
        <w:adjustRightInd w:val="0"/>
        <w:rPr>
          <w:rFonts w:ascii="ＭＳ Ｐゴシック" w:eastAsia="ＭＳ Ｐゴシック" w:hAnsi="ＭＳ Ｐゴシック" w:cs="MS-PGothic" w:hint="eastAsia"/>
          <w:color w:val="000000"/>
          <w:kern w:val="0"/>
          <w:sz w:val="24"/>
        </w:rPr>
      </w:pPr>
      <w:r>
        <w:rPr>
          <w:rFonts w:ascii="ＭＳ Ｐゴシック" w:eastAsia="ＭＳ Ｐゴシック" w:hAnsi="ＭＳ Ｐゴシック" w:cs="MS-PGothic" w:hint="eastAsia"/>
          <w:color w:val="000000"/>
          <w:kern w:val="0"/>
          <w:sz w:val="24"/>
        </w:rPr>
        <w:tab/>
      </w:r>
    </w:p>
    <w:p w14:paraId="6446E4B6"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4"/>
        </w:rPr>
      </w:pPr>
      <w:r>
        <w:rPr>
          <w:rFonts w:ascii="ＭＳ ゴシック" w:eastAsia="ＭＳ ゴシック" w:hAnsi="ＭＳ ゴシック" w:cs="MS-PGothic" w:hint="eastAsia"/>
          <w:color w:val="000000"/>
          <w:kern w:val="0"/>
          <w:sz w:val="24"/>
        </w:rPr>
        <w:t>・この申告書は上記特別規定の全てを包括している物ではない。</w:t>
      </w:r>
    </w:p>
    <w:p w14:paraId="0EC0F888" w14:textId="77777777" w:rsidR="00857745" w:rsidRDefault="00857745" w:rsidP="00857745">
      <w:pPr>
        <w:autoSpaceDE w:val="0"/>
        <w:autoSpaceDN w:val="0"/>
        <w:adjustRightInd w:val="0"/>
        <w:ind w:left="240" w:hangingChars="100" w:hanging="240"/>
        <w:jc w:val="left"/>
        <w:rPr>
          <w:rFonts w:ascii="ＭＳ ゴシック" w:eastAsia="ＭＳ ゴシック" w:hAnsi="ＭＳ ゴシック" w:cs="MS-PGothic" w:hint="eastAsia"/>
          <w:color w:val="000000"/>
          <w:kern w:val="0"/>
          <w:sz w:val="24"/>
        </w:rPr>
      </w:pPr>
      <w:r>
        <w:rPr>
          <w:rFonts w:ascii="ＭＳ ゴシック" w:eastAsia="ＭＳ ゴシック" w:hAnsi="ＭＳ ゴシック" w:cs="MS-PGothic" w:hint="eastAsia"/>
          <w:color w:val="000000"/>
          <w:kern w:val="0"/>
          <w:sz w:val="24"/>
        </w:rPr>
        <w:t>・規定付則Ｂ全文及び関連する規定本文を確認し、規定の条件に合わせて艇を準備して申告書に記入すること。</w:t>
      </w:r>
    </w:p>
    <w:p w14:paraId="1C0B27CA" w14:textId="77777777" w:rsidR="00857745" w:rsidRDefault="00857745" w:rsidP="00857745">
      <w:pPr>
        <w:autoSpaceDE w:val="0"/>
        <w:autoSpaceDN w:val="0"/>
        <w:adjustRightInd w:val="0"/>
        <w:jc w:val="left"/>
        <w:rPr>
          <w:rFonts w:ascii="ＭＳ ゴシック" w:eastAsia="ＭＳ ゴシック" w:hAnsi="ＭＳ ゴシック" w:cs="MS-PGothic" w:hint="eastAsia"/>
          <w:kern w:val="0"/>
          <w:sz w:val="22"/>
        </w:rPr>
      </w:pPr>
      <w:r>
        <w:rPr>
          <w:rFonts w:ascii="ＭＳ ゴシック" w:eastAsia="ＭＳ ゴシック" w:hAnsi="ＭＳ ゴシック" w:cs="MS-PGothic" w:hint="eastAsia"/>
          <w:kern w:val="0"/>
          <w:sz w:val="22"/>
        </w:rPr>
        <w:t>【重要】私はＯＳＲ附則Ｂインショアレース用特別規定と特に規定1.02にある&lt;艇の責任者&gt;に関してよく読んで理解し、ここにオーナーまたは艇の責任者であると宣言し署名します。</w:t>
      </w:r>
    </w:p>
    <w:p w14:paraId="73023491" w14:textId="77777777" w:rsidR="00857745" w:rsidRDefault="00857745" w:rsidP="00857745">
      <w:pPr>
        <w:rPr>
          <w:rFonts w:ascii="ＭＳ Ｐゴシック" w:eastAsia="ＭＳ Ｐゴシック" w:hAnsi="ＭＳ Ｐゴシック" w:hint="eastAsia"/>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20"/>
      </w:tblGrid>
      <w:tr w:rsidR="00857745" w14:paraId="53765E4D" w14:textId="77777777" w:rsidTr="00857745">
        <w:trPr>
          <w:trHeight w:val="180"/>
        </w:trPr>
        <w:tc>
          <w:tcPr>
            <w:tcW w:w="5220" w:type="dxa"/>
            <w:tcBorders>
              <w:top w:val="nil"/>
              <w:left w:val="nil"/>
              <w:bottom w:val="single" w:sz="4" w:space="0" w:color="auto"/>
              <w:right w:val="nil"/>
            </w:tcBorders>
            <w:hideMark/>
          </w:tcPr>
          <w:p w14:paraId="36A783C1" w14:textId="77777777" w:rsidR="00857745" w:rsidRDefault="00857745">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艇　　　名</w:t>
            </w:r>
          </w:p>
        </w:tc>
      </w:tr>
    </w:tbl>
    <w:p w14:paraId="1F631E7C" w14:textId="46A90EE9" w:rsidR="00857745" w:rsidRPr="00857745" w:rsidRDefault="00857745" w:rsidP="00857745">
      <w:pPr>
        <w:rPr>
          <w:rFonts w:ascii="ＭＳ Ｐゴシック" w:eastAsia="ＭＳ Ｐゴシック" w:hAnsi="ＭＳ Ｐゴシック" w:hint="eastAsia"/>
          <w:sz w:val="18"/>
        </w:rPr>
      </w:pPr>
      <w:r>
        <w:rPr>
          <w:rFonts w:ascii="ＭＳ Ｐゴシック" w:eastAsia="ＭＳ Ｐゴシック" w:hAnsi="ＭＳ Ｐゴシック" w:hint="eastAsia"/>
          <w:sz w:val="18"/>
        </w:rPr>
        <w:t xml:space="preserve">　　　　　　　　</w:t>
      </w:r>
    </w:p>
    <w:p w14:paraId="38955017" w14:textId="77777777" w:rsidR="00857745" w:rsidRDefault="00857745" w:rsidP="00857745">
      <w:pPr>
        <w:ind w:firstLineChars="800" w:firstLine="1600"/>
        <w:rPr>
          <w:rFonts w:ascii="ＭＳ Ｐゴシック" w:eastAsia="ＭＳ Ｐゴシック" w:hAnsi="ＭＳ Ｐゴシック" w:hint="eastAsia"/>
          <w:sz w:val="20"/>
          <w:u w:val="single"/>
        </w:rPr>
      </w:pPr>
      <w:r>
        <w:rPr>
          <w:rFonts w:ascii="ＭＳ Ｐゴシック" w:eastAsia="ＭＳ Ｐゴシック" w:hAnsi="ＭＳ Ｐゴシック" w:hint="eastAsia"/>
          <w:sz w:val="20"/>
          <w:u w:val="single"/>
        </w:rPr>
        <w:t xml:space="preserve">オーナー又は艇の責任者　署名　　　　　　　　　　　　　　　　　　</w:t>
      </w:r>
    </w:p>
    <w:p w14:paraId="532E626A" w14:textId="77777777" w:rsidR="00857745" w:rsidRDefault="00857745" w:rsidP="00857745">
      <w:pPr>
        <w:ind w:firstLineChars="800" w:firstLine="1600"/>
        <w:rPr>
          <w:rFonts w:ascii="ＭＳ Ｐゴシック" w:eastAsia="ＭＳ Ｐゴシック" w:hAnsi="ＭＳ Ｐゴシック" w:hint="eastAsia"/>
          <w:sz w:val="20"/>
          <w:u w:val="single"/>
        </w:rPr>
      </w:pPr>
    </w:p>
    <w:p w14:paraId="3582511A" w14:textId="77777777" w:rsidR="00857745" w:rsidRPr="00857745" w:rsidRDefault="00857745" w:rsidP="00857745">
      <w:pPr>
        <w:ind w:firstLineChars="2500" w:firstLine="6000"/>
        <w:rPr>
          <w:rFonts w:ascii="ＭＳ Ｐゴシック" w:eastAsia="ＭＳ Ｐゴシック" w:hAnsi="ＭＳ Ｐゴシック" w:hint="eastAsia"/>
          <w:sz w:val="24"/>
        </w:rPr>
      </w:pPr>
      <w:r w:rsidRPr="00857745">
        <w:rPr>
          <w:rFonts w:ascii="ＭＳ Ｐゴシック" w:eastAsia="ＭＳ Ｐゴシック" w:hAnsi="ＭＳ Ｐゴシック" w:hint="eastAsia"/>
          <w:sz w:val="24"/>
        </w:rPr>
        <w:t>２０２４年　　月　　日</w:t>
      </w:r>
    </w:p>
    <w:p w14:paraId="636E2F0E"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詳細は附則Ｂインショアレース用特別規定にて確認すること</w:t>
      </w:r>
    </w:p>
    <w:p w14:paraId="15101969"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http://jsaf-anzen.jp/pdf/AppB-[26843]_J_201231.pdf</w:t>
      </w:r>
    </w:p>
    <w:p w14:paraId="25AB8526"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パートＡ 基本項目 </w:t>
      </w:r>
    </w:p>
    <w:p w14:paraId="401FB887"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1.02.1 艇責任者の責任全てを確認し、理解している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1BF6F5F3"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2.03.1 外洋特別規定が必要とするすべての装備の要件を満たしている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6C463C1F"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3.02　艇体の完全な水密性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Yes/No</w:t>
      </w:r>
    </w:p>
    <w:p w14:paraId="5D7D7117"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パートA基本事項の上記記載以外の規定全てを満たしているか？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306854B3"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パートＢ 携行備品 </w:t>
      </w:r>
    </w:p>
    <w:p w14:paraId="2D862C99"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3.23 9リットル以上の頑丈でラニヤードがついたバケツ1個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0F69ADB2"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3.24 コンパス1個（手持ちも可）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64393D69"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4.05 消火器1個（電気回路やエンジン、コンロ等が艇に有る場合）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02F5C462"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4.06 アンカー1個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297B91E9"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4.17 浮力あるものに艇名の記載</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049954DE"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4.22 ドローグ付のライフブイ（当該レースではドローグなしでも可とする）</w:t>
      </w:r>
      <w:r>
        <w:rPr>
          <w:rFonts w:ascii="ＭＳ ゴシック" w:eastAsia="ＭＳ ゴシック" w:hAnsi="ＭＳ ゴシック" w:cs="MS-PGothic" w:hint="eastAsia"/>
          <w:color w:val="000000"/>
          <w:kern w:val="0"/>
          <w:sz w:val="20"/>
          <w:szCs w:val="20"/>
        </w:rPr>
        <w:tab/>
        <w:t xml:space="preserve">Yes/No </w:t>
      </w:r>
    </w:p>
    <w:p w14:paraId="09597C21"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4.22.5 ヒービングライン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Yes/No </w:t>
      </w:r>
    </w:p>
    <w:p w14:paraId="48FBA94C"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4.25 デッキまたはコックピットからすぐに使える位置に安全に収められたナイフ </w:t>
      </w:r>
      <w:r>
        <w:rPr>
          <w:rFonts w:ascii="ＭＳ ゴシック" w:eastAsia="ＭＳ ゴシック" w:hAnsi="ＭＳ ゴシック" w:cs="MS-PGothic" w:hint="eastAsia"/>
          <w:color w:val="000000"/>
          <w:kern w:val="0"/>
          <w:sz w:val="20"/>
          <w:szCs w:val="20"/>
        </w:rPr>
        <w:tab/>
        <w:t>Yes/No</w:t>
      </w:r>
    </w:p>
    <w:p w14:paraId="799AA1FF"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5.01.1　個人用浮揚用具の条件を満たしているか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Yes/No</w:t>
      </w:r>
    </w:p>
    <w:p w14:paraId="3C45A83A" w14:textId="77777777" w:rsidR="00857745" w:rsidRDefault="00857745" w:rsidP="00857745">
      <w:pPr>
        <w:rPr>
          <w:rFonts w:ascii="ＭＳ ゴシック" w:eastAsia="ＭＳ ゴシック" w:hAnsi="ＭＳ ゴシック" w:cs="Calibri" w:hint="eastAsia"/>
          <w:sz w:val="20"/>
          <w:szCs w:val="20"/>
        </w:rPr>
      </w:pPr>
      <w:r>
        <w:rPr>
          <w:rFonts w:ascii="ＭＳ ゴシック" w:eastAsia="ＭＳ ゴシック" w:hAnsi="ＭＳ ゴシック" w:cs="Calibri" w:hint="eastAsia"/>
          <w:color w:val="000000"/>
          <w:kern w:val="0"/>
          <w:szCs w:val="21"/>
        </w:rPr>
        <w:t>（</w:t>
      </w:r>
      <w:r>
        <w:rPr>
          <w:rFonts w:ascii="ＭＳ ゴシック" w:eastAsia="ＭＳ ゴシック" w:hAnsi="ＭＳ ゴシック" w:cs="Calibri" w:hint="eastAsia"/>
          <w:sz w:val="20"/>
          <w:szCs w:val="20"/>
        </w:rPr>
        <w:t>但し、ライフジャケットに係る　５．０１．１　ｄ）を削除する）</w:t>
      </w:r>
    </w:p>
    <w:p w14:paraId="575384D2" w14:textId="77777777" w:rsid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 xml:space="preserve">ライフジャケットの個数 　　　　　　　　　　</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 xml:space="preserve">　　個 </w:t>
      </w:r>
    </w:p>
    <w:p w14:paraId="65F16FCD" w14:textId="5EADEA38" w:rsidR="003330A1" w:rsidRPr="00857745" w:rsidRDefault="00857745" w:rsidP="00857745">
      <w:pPr>
        <w:autoSpaceDE w:val="0"/>
        <w:autoSpaceDN w:val="0"/>
        <w:adjustRightInd w:val="0"/>
        <w:jc w:val="left"/>
        <w:rPr>
          <w:rFonts w:ascii="ＭＳ ゴシック" w:eastAsia="ＭＳ ゴシック" w:hAnsi="ＭＳ ゴシック" w:cs="MS-PGothic" w:hint="eastAsia"/>
          <w:color w:val="000000"/>
          <w:kern w:val="0"/>
          <w:sz w:val="20"/>
          <w:szCs w:val="20"/>
        </w:rPr>
      </w:pPr>
      <w:r>
        <w:rPr>
          <w:rFonts w:ascii="ＭＳ ゴシック" w:eastAsia="ＭＳ ゴシック" w:hAnsi="ＭＳ ゴシック" w:cs="MS-PGothic" w:hint="eastAsia"/>
          <w:color w:val="000000"/>
          <w:kern w:val="0"/>
          <w:sz w:val="20"/>
          <w:szCs w:val="20"/>
        </w:rPr>
        <w:t>パートB携行備品の上記項目以外の規定全てを満たしているか？</w:t>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r>
      <w:r>
        <w:rPr>
          <w:rFonts w:ascii="ＭＳ ゴシック" w:eastAsia="ＭＳ ゴシック" w:hAnsi="ＭＳ ゴシック" w:cs="MS-PGothic" w:hint="eastAsia"/>
          <w:color w:val="000000"/>
          <w:kern w:val="0"/>
          <w:sz w:val="20"/>
          <w:szCs w:val="20"/>
        </w:rPr>
        <w:tab/>
        <w:t>Yes/No</w:t>
      </w:r>
    </w:p>
    <w:sectPr w:rsidR="003330A1" w:rsidRPr="00857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45"/>
    <w:rsid w:val="003330A1"/>
    <w:rsid w:val="00857745"/>
    <w:rsid w:val="00A1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32098"/>
  <w15:chartTrackingRefBased/>
  <w15:docId w15:val="{F4C4660E-221A-46C2-8360-D6C2DA85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7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晴彦 斎藤</dc:creator>
  <cp:keywords/>
  <dc:description/>
  <cp:lastModifiedBy>晴彦 斎藤</cp:lastModifiedBy>
  <cp:revision>1</cp:revision>
  <dcterms:created xsi:type="dcterms:W3CDTF">2024-02-02T13:10:00Z</dcterms:created>
  <dcterms:modified xsi:type="dcterms:W3CDTF">2024-02-02T13:15:00Z</dcterms:modified>
</cp:coreProperties>
</file>